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5A" w:rsidRPr="001F515A" w:rsidRDefault="001F515A" w:rsidP="008878A1">
      <w:pPr>
        <w:rPr>
          <w:rFonts w:ascii="Arial" w:hAnsi="Arial"/>
          <w:b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FB5A45F" wp14:editId="166F8DF5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A">
        <w:rPr>
          <w:rFonts w:ascii="Verdana" w:hAnsi="Verdana"/>
          <w:sz w:val="20"/>
          <w:szCs w:val="20"/>
          <w:lang w:eastAsia="en-US"/>
        </w:rPr>
        <w:object w:dxaOrig="316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97pt" o:ole="">
            <v:imagedata r:id="rId12" o:title=""/>
          </v:shape>
          <o:OLEObject Type="Embed" ProgID="Imaging.Document" ShapeID="_x0000_i1025" DrawAspect="Content" ObjectID="_1683111671" r:id="rId13"/>
        </w:object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08"/>
        <w:gridCol w:w="610"/>
        <w:gridCol w:w="851"/>
        <w:gridCol w:w="850"/>
        <w:gridCol w:w="1109"/>
        <w:gridCol w:w="720"/>
        <w:gridCol w:w="1715"/>
        <w:gridCol w:w="745"/>
        <w:gridCol w:w="1098"/>
        <w:gridCol w:w="1701"/>
        <w:gridCol w:w="2409"/>
        <w:gridCol w:w="1418"/>
      </w:tblGrid>
      <w:tr w:rsidR="001F515A" w:rsidRPr="001F515A" w:rsidTr="00ED20C9">
        <w:tc>
          <w:tcPr>
            <w:tcW w:w="1908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:rsidR="001F515A" w:rsidRPr="001F515A" w:rsidRDefault="005A63C1" w:rsidP="008878A1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Assistant Chief Executive</w:t>
            </w:r>
          </w:p>
        </w:tc>
        <w:tc>
          <w:tcPr>
            <w:tcW w:w="610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:rsidR="001F515A" w:rsidRPr="001F515A" w:rsidRDefault="005A63C1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Corporate Policy, Partnership and Communications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</w:tcPr>
          <w:p w:rsid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</w:p>
          <w:p w:rsidR="005A63C1" w:rsidRPr="001F515A" w:rsidRDefault="005A63C1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5A63C1" w:rsidP="008878A1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28/04/2021</w:t>
            </w:r>
          </w:p>
        </w:tc>
        <w:tc>
          <w:tcPr>
            <w:tcW w:w="3558" w:type="dxa"/>
            <w:gridSpan w:val="3"/>
          </w:tcPr>
          <w:p w:rsid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:rsidR="005A63C1" w:rsidRDefault="005A63C1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5A63C1" w:rsidRPr="001F515A" w:rsidRDefault="005A63C1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Dani Granito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:rsid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5A63C1" w:rsidRPr="001F515A" w:rsidRDefault="005A63C1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28/04/20</w:t>
            </w:r>
          </w:p>
          <w:p w:rsidR="001F515A" w:rsidRPr="001F515A" w:rsidRDefault="001F515A" w:rsidP="002C293A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ED20C9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Name of Policy to be assessed:</w:t>
            </w:r>
          </w:p>
        </w:tc>
        <w:tc>
          <w:tcPr>
            <w:tcW w:w="10915" w:type="dxa"/>
            <w:gridSpan w:val="8"/>
          </w:tcPr>
          <w:p w:rsidR="00C029D3" w:rsidRPr="00C029D3" w:rsidRDefault="00C029D3" w:rsidP="00C029D3">
            <w:pPr>
              <w:keepNext/>
              <w:keepLines/>
              <w:spacing w:before="240" w:line="276" w:lineRule="auto"/>
              <w:rPr>
                <w:rFonts w:ascii="Arial" w:eastAsia="MS Gothic" w:hAnsi="Arial" w:cs="Arial"/>
                <w:bCs/>
                <w:szCs w:val="32"/>
                <w:lang w:val="en-US" w:eastAsia="ja-JP"/>
              </w:rPr>
            </w:pPr>
            <w:r w:rsidRPr="00C029D3">
              <w:rPr>
                <w:rFonts w:ascii="Arial" w:eastAsia="MS Gothic" w:hAnsi="Arial" w:cs="Arial"/>
                <w:bCs/>
                <w:szCs w:val="32"/>
                <w:lang w:val="en-US" w:eastAsia="ja-JP"/>
              </w:rPr>
              <w:t>Safeguarding Children, Young People and Adults with Care and Support Needs</w:t>
            </w:r>
          </w:p>
          <w:p w:rsidR="001F515A" w:rsidRPr="0054009D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4009D" w:rsidRPr="001F515A" w:rsidTr="00ED20C9">
        <w:trPr>
          <w:trHeight w:val="96"/>
        </w:trPr>
        <w:tc>
          <w:tcPr>
            <w:tcW w:w="4219" w:type="dxa"/>
            <w:gridSpan w:val="4"/>
            <w:vMerge w:val="restart"/>
          </w:tcPr>
          <w:p w:rsidR="0054009D" w:rsidRPr="001F515A" w:rsidRDefault="0054009D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1. In what area are there concerns that the policy could have a differential impact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C029D3" w:rsidRDefault="00A41DA8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  <w:r w:rsidRPr="00A41DA8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Age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C029D3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C029D3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</w:p>
        </w:tc>
      </w:tr>
      <w:tr w:rsidR="0054009D" w:rsidRPr="001F515A" w:rsidTr="00ED20C9">
        <w:tc>
          <w:tcPr>
            <w:tcW w:w="4219" w:type="dxa"/>
            <w:gridSpan w:val="4"/>
            <w:vMerge/>
          </w:tcPr>
          <w:p w:rsidR="0054009D" w:rsidRPr="001F515A" w:rsidRDefault="0054009D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C029D3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C029D3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C029D3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</w:p>
        </w:tc>
      </w:tr>
      <w:tr w:rsidR="0054009D" w:rsidRPr="001F515A" w:rsidTr="00ED20C9">
        <w:tc>
          <w:tcPr>
            <w:tcW w:w="4219" w:type="dxa"/>
            <w:gridSpan w:val="4"/>
            <w:vMerge/>
          </w:tcPr>
          <w:p w:rsidR="0054009D" w:rsidRPr="001F515A" w:rsidRDefault="0054009D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C029D3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C029D3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C029D3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A41DA8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A41DA8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Safeguarding/ Welfare of Children and vulnerable adults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A41DA8" w:rsidRDefault="00D75AD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Deprivation/Income levels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C029D3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2. Background: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Give the background information to the policy and the perceived problems with the policy which are the reason for the Impact Assessment.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C029D3" w:rsidRDefault="00C029D3" w:rsidP="00C029D3">
            <w:pPr>
              <w:pStyle w:val="ListParagraph"/>
              <w:ind w:left="709"/>
            </w:pPr>
            <w:r w:rsidRPr="0046762F">
              <w:rPr>
                <w:lang w:eastAsia="en-GB"/>
              </w:rPr>
              <w:lastRenderedPageBreak/>
              <w:t xml:space="preserve">Oxford City Council undertakes a range of activity that brings its </w:t>
            </w:r>
            <w:r>
              <w:rPr>
                <w:lang w:eastAsia="en-GB"/>
              </w:rPr>
              <w:t>employees, members and volunteers</w:t>
            </w:r>
            <w:r w:rsidRPr="0046762F">
              <w:rPr>
                <w:lang w:eastAsia="en-GB"/>
              </w:rPr>
              <w:t xml:space="preserve"> into contact with children, young people and </w:t>
            </w:r>
            <w:r w:rsidRPr="0046762F">
              <w:t xml:space="preserve">adults with care and support needs. </w:t>
            </w:r>
          </w:p>
          <w:p w:rsidR="00C029D3" w:rsidRPr="0046762F" w:rsidRDefault="00C029D3" w:rsidP="00C029D3">
            <w:pPr>
              <w:pStyle w:val="ListParagraph"/>
              <w:ind w:left="709"/>
            </w:pPr>
          </w:p>
          <w:p w:rsidR="00C029D3" w:rsidRPr="0046762F" w:rsidRDefault="00C029D3" w:rsidP="00C029D3">
            <w:pPr>
              <w:pStyle w:val="ListParagraph"/>
              <w:ind w:left="709"/>
            </w:pPr>
            <w:r w:rsidRPr="0046762F">
              <w:rPr>
                <w:lang w:eastAsia="en-GB"/>
              </w:rPr>
              <w:t>In addition the</w:t>
            </w:r>
            <w:r>
              <w:rPr>
                <w:lang w:eastAsia="en-GB"/>
              </w:rPr>
              <w:t xml:space="preserve"> </w:t>
            </w:r>
            <w:r w:rsidRPr="0046762F">
              <w:rPr>
                <w:lang w:eastAsia="en-GB"/>
              </w:rPr>
              <w:t xml:space="preserve">Council procures services from other organisations who may work with children, young people </w:t>
            </w:r>
            <w:r>
              <w:rPr>
                <w:lang w:eastAsia="en-GB"/>
              </w:rPr>
              <w:t xml:space="preserve">and </w:t>
            </w:r>
            <w:r w:rsidRPr="0046762F">
              <w:t xml:space="preserve">adults with care and support needs. </w:t>
            </w:r>
          </w:p>
          <w:p w:rsidR="00C029D3" w:rsidRPr="0046762F" w:rsidRDefault="00C029D3" w:rsidP="00C029D3">
            <w:pPr>
              <w:pStyle w:val="ListParagraph"/>
              <w:spacing w:before="100" w:beforeAutospacing="1" w:after="100" w:afterAutospacing="1"/>
              <w:ind w:left="709" w:hanging="709"/>
              <w:rPr>
                <w:lang w:eastAsia="en-GB"/>
              </w:rPr>
            </w:pPr>
          </w:p>
          <w:p w:rsidR="00C029D3" w:rsidRPr="0046762F" w:rsidRDefault="00C029D3" w:rsidP="00C029D3">
            <w:pPr>
              <w:pStyle w:val="ListParagraph"/>
              <w:ind w:left="709"/>
            </w:pPr>
            <w:r>
              <w:t>The purpose of the</w:t>
            </w:r>
            <w:r w:rsidRPr="0046762F">
              <w:t xml:space="preserve"> policy is to clearly state the duty and responsibilities of all Council </w:t>
            </w:r>
            <w:r>
              <w:t>employees, members and volunteers</w:t>
            </w:r>
            <w:r w:rsidRPr="0046762F">
              <w:t xml:space="preserve"> working for or on behalf of Oxford City Council in relation to safeguarding children, young people and adults with care and support needs. </w:t>
            </w:r>
          </w:p>
          <w:p w:rsidR="00C029D3" w:rsidRPr="0046762F" w:rsidRDefault="00C029D3" w:rsidP="00C029D3">
            <w:pPr>
              <w:pStyle w:val="ListParagraph"/>
              <w:ind w:left="709" w:hanging="709"/>
            </w:pPr>
          </w:p>
          <w:p w:rsidR="00C029D3" w:rsidRDefault="00C029D3" w:rsidP="00C029D3">
            <w:pPr>
              <w:pStyle w:val="ListParagraph"/>
              <w:ind w:left="709"/>
            </w:pPr>
            <w:r>
              <w:t>The</w:t>
            </w:r>
            <w:r w:rsidRPr="0046762F">
              <w:t xml:space="preserve"> policy supports the Oxford City Council </w:t>
            </w:r>
            <w:r>
              <w:t>Strategy 2020-2024</w:t>
            </w:r>
            <w:r w:rsidRPr="0046762F">
              <w:t xml:space="preserve"> </w:t>
            </w:r>
            <w:r>
              <w:t xml:space="preserve">priority for thriving communities. </w:t>
            </w:r>
          </w:p>
          <w:p w:rsidR="00C029D3" w:rsidRDefault="00C029D3" w:rsidP="00C029D3">
            <w:pPr>
              <w:pStyle w:val="ListParagraph"/>
              <w:ind w:left="709"/>
            </w:pPr>
          </w:p>
          <w:p w:rsidR="00C029D3" w:rsidRPr="005735AB" w:rsidRDefault="005735AB" w:rsidP="00C029D3">
            <w:pPr>
              <w:pStyle w:val="ListParagraph"/>
              <w:ind w:left="709"/>
            </w:pPr>
            <w:r>
              <w:t xml:space="preserve">This policy is a statutory requirement and </w:t>
            </w:r>
            <w:r w:rsidR="00D75ADD">
              <w:t xml:space="preserve">no </w:t>
            </w:r>
            <w:r>
              <w:t>perceived problem</w:t>
            </w:r>
            <w:r w:rsidR="00D75ADD">
              <w:t>s have been identified</w:t>
            </w:r>
            <w:r>
              <w:t>.</w:t>
            </w:r>
          </w:p>
          <w:p w:rsidR="00B51D02" w:rsidRPr="0006524C" w:rsidRDefault="00B51D02" w:rsidP="000652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8878A1" w:rsidRDefault="00C029D3" w:rsidP="008878A1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MyConcern - central reporting system for safeguarding concerns</w:t>
            </w:r>
          </w:p>
          <w:p w:rsidR="00C029D3" w:rsidRDefault="00C029D3" w:rsidP="008878A1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Annual Safeguarding self-assessment</w:t>
            </w:r>
          </w:p>
          <w:p w:rsidR="00C029D3" w:rsidRPr="00C029D3" w:rsidRDefault="00C029D3" w:rsidP="008878A1">
            <w:pPr>
              <w:rPr>
                <w:rFonts w:ascii="Arial" w:hAnsi="Arial" w:cs="Arial"/>
                <w:bCs/>
              </w:rPr>
            </w:pPr>
            <w:r w:rsidRPr="00C029D3">
              <w:rPr>
                <w:rFonts w:ascii="Arial" w:hAnsi="Arial" w:cs="Arial"/>
                <w:bCs/>
              </w:rPr>
              <w:t xml:space="preserve">Small Agency safeguarding audit for services commissioned by Oxford City Council </w:t>
            </w:r>
          </w:p>
          <w:p w:rsidR="00C029D3" w:rsidRPr="00C029D3" w:rsidRDefault="00C029D3" w:rsidP="008878A1">
            <w:pPr>
              <w:rPr>
                <w:rFonts w:ascii="Arial" w:hAnsi="Arial" w:cs="Arial"/>
                <w:bCs/>
              </w:rPr>
            </w:pPr>
            <w:r w:rsidRPr="00C029D3">
              <w:rPr>
                <w:rFonts w:ascii="Arial" w:hAnsi="Arial" w:cs="Arial"/>
                <w:bCs/>
              </w:rPr>
              <w:t>Annual staff survey</w:t>
            </w:r>
          </w:p>
          <w:p w:rsidR="00C029D3" w:rsidRDefault="00C029D3" w:rsidP="008878A1">
            <w:pPr>
              <w:rPr>
                <w:rFonts w:ascii="Arial" w:hAnsi="Arial" w:cs="Arial"/>
                <w:bCs/>
              </w:rPr>
            </w:pPr>
            <w:r w:rsidRPr="00C029D3">
              <w:rPr>
                <w:rFonts w:ascii="Arial" w:hAnsi="Arial" w:cs="Arial"/>
                <w:bCs/>
              </w:rPr>
              <w:t>Training updates provided by Human Resources</w:t>
            </w:r>
          </w:p>
          <w:p w:rsidR="004C113C" w:rsidRDefault="004C113C" w:rsidP="008878A1">
            <w:pPr>
              <w:rPr>
                <w:rFonts w:ascii="Arial" w:hAnsi="Arial" w:cs="Arial"/>
                <w:bCs/>
              </w:rPr>
            </w:pPr>
          </w:p>
          <w:p w:rsidR="004C113C" w:rsidRDefault="009E05CF" w:rsidP="004C1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</w:t>
            </w:r>
            <w:r w:rsidR="004C113C" w:rsidRPr="004C113C">
              <w:rPr>
                <w:rFonts w:ascii="Arial" w:hAnsi="Arial" w:cs="Arial"/>
              </w:rPr>
              <w:t xml:space="preserve"> from many other external sources to influence our direction of travel, such as</w:t>
            </w:r>
          </w:p>
          <w:p w:rsidR="0037241A" w:rsidRDefault="0037241A" w:rsidP="004C1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Children’s Trust Board/OSCB joint data and performance dash board</w:t>
            </w:r>
          </w:p>
          <w:p w:rsidR="0037241A" w:rsidRDefault="0037241A" w:rsidP="004C1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OSAB Performance report/dashboard</w:t>
            </w:r>
          </w:p>
          <w:p w:rsidR="0037241A" w:rsidRPr="004C113C" w:rsidRDefault="0037241A" w:rsidP="004C1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JSNA</w:t>
            </w:r>
          </w:p>
          <w:p w:rsidR="004C113C" w:rsidRDefault="004C113C" w:rsidP="004C113C">
            <w:pPr>
              <w:rPr>
                <w:color w:val="1F497D"/>
                <w:sz w:val="22"/>
                <w:szCs w:val="22"/>
              </w:rPr>
            </w:pPr>
          </w:p>
          <w:p w:rsidR="004C113C" w:rsidRPr="00C11DF7" w:rsidRDefault="004C113C" w:rsidP="008878A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 xml:space="preserve">This section should outline all the consultation that has taken place on the EIA. It should include the following.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lastRenderedPageBreak/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statement of what you plan to do next</w:t>
            </w:r>
          </w:p>
        </w:tc>
        <w:tc>
          <w:tcPr>
            <w:tcW w:w="10915" w:type="dxa"/>
            <w:gridSpan w:val="8"/>
          </w:tcPr>
          <w:p w:rsidR="009F00B3" w:rsidRDefault="005735AB" w:rsidP="0006524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 xml:space="preserve">Upon completing the policy, users and safeguarding officers are consulted. </w:t>
            </w:r>
            <w:r w:rsidR="006F1C60">
              <w:rPr>
                <w:rFonts w:ascii="Arial" w:hAnsi="Arial" w:cs="Arial"/>
                <w:szCs w:val="20"/>
                <w:lang w:eastAsia="en-US"/>
              </w:rPr>
              <w:t>Responses are considered and added to the policy where appropriate.</w:t>
            </w:r>
          </w:p>
          <w:p w:rsidR="005735AB" w:rsidRDefault="005735AB" w:rsidP="0006524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  <w:p w:rsidR="006F1C60" w:rsidRDefault="005735AB" w:rsidP="006F1C6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We have not consulted formally</w:t>
            </w:r>
            <w:r w:rsidR="006F1C60">
              <w:rPr>
                <w:rFonts w:ascii="Arial" w:hAnsi="Arial" w:cs="Arial"/>
                <w:szCs w:val="20"/>
                <w:lang w:eastAsia="en-US"/>
              </w:rPr>
              <w:t xml:space="preserve"> as changes to the policy are minor updates.</w:t>
            </w:r>
          </w:p>
          <w:p w:rsidR="005735AB" w:rsidRDefault="006F1C60" w:rsidP="006F1C6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In the event that significant changes were planned to the policy, a formal consultation would be carried out.</w:t>
            </w:r>
          </w:p>
          <w:p w:rsidR="005735AB" w:rsidRDefault="005735AB" w:rsidP="0006524C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7C0F38" w:rsidRDefault="007C0F38" w:rsidP="0006524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No concerns have been raised previously regarding the equality impact</w:t>
            </w:r>
            <w:r w:rsidR="00D75ADD">
              <w:rPr>
                <w:rFonts w:ascii="Arial" w:hAnsi="Arial" w:cs="Arial"/>
                <w:szCs w:val="20"/>
                <w:lang w:eastAsia="en-US"/>
              </w:rPr>
              <w:t>.</w:t>
            </w:r>
          </w:p>
          <w:p w:rsidR="005735AB" w:rsidRDefault="005735AB" w:rsidP="0006524C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5735AB" w:rsidRPr="0006524C" w:rsidRDefault="005735AB" w:rsidP="0006524C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944A56">
        <w:trPr>
          <w:trHeight w:val="8175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lastRenderedPageBreak/>
              <w:t>5. Assessment of Impact:</w:t>
            </w:r>
          </w:p>
          <w:p w:rsidR="001F515A" w:rsidRPr="001F515A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7070ED" w:rsidRPr="0006524C" w:rsidRDefault="007070ED" w:rsidP="00262814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376912" w:rsidRDefault="00D75ADD" w:rsidP="00376912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policy’s aim is to safeguard</w:t>
            </w:r>
            <w:r w:rsidR="0044659E">
              <w:rPr>
                <w:rFonts w:ascii="Arial" w:hAnsi="Arial" w:cs="Arial"/>
                <w:szCs w:val="20"/>
                <w:lang w:eastAsia="en-US"/>
              </w:rPr>
              <w:t xml:space="preserve"> vulnerable adults and children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and is inclusive for all. The policy takes</w:t>
            </w:r>
            <w:r w:rsidR="007C0F38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the </w:t>
            </w:r>
            <w:r w:rsidR="007C0F38">
              <w:rPr>
                <w:rFonts w:ascii="Arial" w:hAnsi="Arial" w:cs="Arial"/>
                <w:szCs w:val="20"/>
                <w:lang w:eastAsia="en-US"/>
              </w:rPr>
              <w:t>equality strands in to consideration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and makes reference to the Equality Act 2010.</w:t>
            </w:r>
          </w:p>
          <w:p w:rsidR="00142786" w:rsidRDefault="00142786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42786" w:rsidRDefault="007C0F38" w:rsidP="00142786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</w:t>
            </w:r>
            <w:r w:rsidRPr="001F515A">
              <w:rPr>
                <w:rFonts w:ascii="Arial" w:hAnsi="Arial" w:cs="Arial"/>
                <w:lang w:eastAsia="en-US"/>
              </w:rPr>
              <w:t xml:space="preserve">he policy, </w:t>
            </w:r>
            <w:r>
              <w:rPr>
                <w:rFonts w:ascii="Arial" w:hAnsi="Arial" w:cs="Arial"/>
                <w:lang w:eastAsia="en-US"/>
              </w:rPr>
              <w:t>report and action plan is solely focused</w:t>
            </w:r>
            <w:r w:rsidRPr="001F515A">
              <w:rPr>
                <w:rFonts w:ascii="Arial" w:hAnsi="Arial" w:cs="Arial"/>
                <w:lang w:eastAsia="en-US"/>
              </w:rPr>
              <w:t xml:space="preserve"> on safeguarding and / or the welfare of children and vulnerable adults</w:t>
            </w:r>
            <w:r>
              <w:rPr>
                <w:rFonts w:ascii="Arial" w:hAnsi="Arial" w:cs="Arial"/>
                <w:lang w:eastAsia="en-US"/>
              </w:rPr>
              <w:t xml:space="preserve"> and will have a positive impact.</w:t>
            </w:r>
          </w:p>
          <w:p w:rsidR="000F3BAB" w:rsidRDefault="000F3BAB" w:rsidP="00376912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041903" w:rsidRPr="001F515A" w:rsidRDefault="00041903" w:rsidP="0037691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This section should explain in detail all the consideration of alternative approaches/mitigation of adverse impact of the policy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1F515A" w:rsidRDefault="0044659E" w:rsidP="003C118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Safeguarding policy is a statutory requirement so no alternative approaches are possible</w:t>
            </w:r>
          </w:p>
          <w:p w:rsidR="003C118C" w:rsidRPr="003C118C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  <w:r w:rsidRPr="003C118C">
              <w:rPr>
                <w:rFonts w:ascii="Arial" w:hAnsi="Arial" w:cs="Arial"/>
                <w:szCs w:val="20"/>
                <w:lang w:eastAsia="en-US"/>
              </w:rPr>
              <w:lastRenderedPageBreak/>
              <w:br/>
            </w:r>
          </w:p>
          <w:p w:rsidR="003C118C" w:rsidRPr="001F515A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rPr>
          <w:trHeight w:val="359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6a. Monitoring Arrangements: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assessment of your monitoring, making clear whether you found any evidence of discrimination. </w:t>
            </w:r>
          </w:p>
        </w:tc>
        <w:tc>
          <w:tcPr>
            <w:tcW w:w="10915" w:type="dxa"/>
            <w:gridSpan w:val="8"/>
          </w:tcPr>
          <w:p w:rsidR="009F00B3" w:rsidRPr="001F515A" w:rsidRDefault="009F00B3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  <w:p w:rsidR="001F515A" w:rsidRPr="00D964D2" w:rsidRDefault="00D964D2" w:rsidP="008878A1">
            <w:pPr>
              <w:rPr>
                <w:rFonts w:ascii="Arial" w:hAnsi="Arial" w:cs="Arial"/>
                <w:szCs w:val="20"/>
                <w:lang w:eastAsia="en-US"/>
              </w:rPr>
            </w:pPr>
            <w:r w:rsidRPr="00D964D2">
              <w:rPr>
                <w:rFonts w:ascii="Arial" w:hAnsi="Arial" w:cs="Arial"/>
                <w:szCs w:val="20"/>
                <w:lang w:eastAsia="en-US"/>
              </w:rPr>
              <w:t xml:space="preserve">Quarterly strategic safeguarding group </w:t>
            </w:r>
            <w:r w:rsidR="0044659E">
              <w:rPr>
                <w:rFonts w:ascii="Arial" w:hAnsi="Arial" w:cs="Arial"/>
                <w:szCs w:val="20"/>
                <w:lang w:eastAsia="en-US"/>
              </w:rPr>
              <w:t xml:space="preserve">meeting </w:t>
            </w:r>
            <w:r w:rsidRPr="00D964D2">
              <w:rPr>
                <w:rFonts w:ascii="Arial" w:hAnsi="Arial" w:cs="Arial"/>
                <w:szCs w:val="20"/>
                <w:lang w:eastAsia="en-US"/>
              </w:rPr>
              <w:t xml:space="preserve">chaired by Head of Business Improvement </w:t>
            </w:r>
          </w:p>
          <w:p w:rsidR="00D964D2" w:rsidRDefault="00D964D2" w:rsidP="008878A1">
            <w:pPr>
              <w:rPr>
                <w:rFonts w:ascii="Arial" w:hAnsi="Arial" w:cs="Arial"/>
                <w:szCs w:val="20"/>
                <w:lang w:eastAsia="en-US"/>
              </w:rPr>
            </w:pPr>
            <w:r w:rsidRPr="00D964D2">
              <w:rPr>
                <w:rFonts w:ascii="Arial" w:hAnsi="Arial" w:cs="Arial"/>
                <w:szCs w:val="20"/>
                <w:lang w:eastAsia="en-US"/>
              </w:rPr>
              <w:t>Quarterly Safeguarding Champion and Designated Officer meeting</w:t>
            </w:r>
          </w:p>
          <w:p w:rsidR="0044659E" w:rsidRDefault="0044659E" w:rsidP="008878A1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Annual review in line with Safeguarding action plan</w:t>
            </w:r>
          </w:p>
          <w:p w:rsidR="006F1C60" w:rsidRPr="001F515A" w:rsidRDefault="006F1C60" w:rsidP="008878A1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Annual self assessment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Date reported and signed off by City Executive Board: </w:t>
            </w:r>
          </w:p>
        </w:tc>
        <w:tc>
          <w:tcPr>
            <w:tcW w:w="10915" w:type="dxa"/>
            <w:gridSpan w:val="8"/>
          </w:tcPr>
          <w:p w:rsidR="001F515A" w:rsidRPr="001F515A" w:rsidRDefault="001F515A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rPr>
          <w:trHeight w:val="782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ED20C9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What are your conclusions drawn from the resul</w:t>
            </w:r>
            <w:r w:rsidR="00ED20C9">
              <w:rPr>
                <w:rFonts w:ascii="Arial" w:hAnsi="Arial" w:cs="Arial"/>
                <w:szCs w:val="20"/>
                <w:lang w:eastAsia="en-US"/>
              </w:rPr>
              <w:t>ts in terms of the policy impact</w:t>
            </w:r>
          </w:p>
        </w:tc>
        <w:tc>
          <w:tcPr>
            <w:tcW w:w="10915" w:type="dxa"/>
            <w:gridSpan w:val="8"/>
          </w:tcPr>
          <w:p w:rsidR="003C118C" w:rsidRPr="007C0F38" w:rsidRDefault="007C0F38" w:rsidP="0006524C">
            <w:pPr>
              <w:rPr>
                <w:rFonts w:ascii="Arial" w:hAnsi="Arial" w:cs="Arial"/>
                <w:szCs w:val="20"/>
                <w:lang w:eastAsia="en-US"/>
              </w:rPr>
            </w:pPr>
            <w:r w:rsidRPr="007C0F38">
              <w:rPr>
                <w:rFonts w:ascii="Arial" w:hAnsi="Arial" w:cs="Arial"/>
                <w:szCs w:val="20"/>
                <w:lang w:eastAsia="en-US"/>
              </w:rPr>
              <w:t>After considering all areas of the policy, report and action plan, I can see no differential impact on any protected characteristics</w:t>
            </w:r>
            <w:r>
              <w:rPr>
                <w:rFonts w:ascii="Arial" w:hAnsi="Arial" w:cs="Arial"/>
                <w:szCs w:val="20"/>
                <w:lang w:eastAsia="en-US"/>
              </w:rPr>
              <w:t>.</w:t>
            </w:r>
          </w:p>
        </w:tc>
      </w:tr>
      <w:tr w:rsidR="00ED20C9" w:rsidRPr="001F515A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1959" w:type="dxa"/>
            <w:gridSpan w:val="2"/>
            <w:vAlign w:val="center"/>
          </w:tcPr>
          <w:p w:rsidR="00ED20C9" w:rsidRPr="001F515A" w:rsidRDefault="00ED20C9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ED20C9">
              <w:rPr>
                <w:rFonts w:ascii="Arial" w:hAnsi="Arial" w:cs="Arial"/>
                <w:bCs/>
                <w:szCs w:val="20"/>
                <w:lang w:eastAsia="en-US"/>
              </w:rPr>
              <w:t>YES</w:t>
            </w:r>
            <w:r w:rsidR="0006524C">
              <w:rPr>
                <w:rFonts w:ascii="Arial" w:hAnsi="Arial" w:cs="Arial"/>
                <w:bCs/>
                <w:szCs w:val="20"/>
                <w:lang w:eastAsia="en-US"/>
              </w:rPr>
              <w:t>/</w:t>
            </w:r>
            <w:r w:rsidR="0006524C" w:rsidRPr="007C0F38">
              <w:rPr>
                <w:rFonts w:ascii="Arial" w:hAnsi="Arial" w:cs="Arial"/>
                <w:b/>
                <w:bCs/>
                <w:szCs w:val="20"/>
                <w:lang w:eastAsia="en-US"/>
              </w:rPr>
              <w:t>NO</w:t>
            </w:r>
          </w:p>
        </w:tc>
        <w:tc>
          <w:tcPr>
            <w:tcW w:w="3180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:rsidR="00ED20C9" w:rsidRPr="001F515A" w:rsidRDefault="00ED20C9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</w:t>
            </w:r>
            <w:r w:rsidR="00D40A0A">
              <w:rPr>
                <w:rFonts w:ascii="Arial" w:hAnsi="Arial"/>
                <w:b/>
                <w:bCs/>
                <w:szCs w:val="20"/>
                <w:lang w:eastAsia="en-US"/>
              </w:rPr>
              <w:t xml:space="preserve">ities Lead Officer </w:t>
            </w:r>
          </w:p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ED20C9" w:rsidRPr="001F515A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1959" w:type="dxa"/>
            <w:gridSpan w:val="2"/>
            <w:vAlign w:val="center"/>
          </w:tcPr>
          <w:p w:rsidR="00ED20C9" w:rsidRPr="001F515A" w:rsidRDefault="00ED20C9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14. Date reported to City Executive Board:</w:t>
            </w:r>
          </w:p>
        </w:tc>
        <w:tc>
          <w:tcPr>
            <w:tcW w:w="2799" w:type="dxa"/>
            <w:gridSpan w:val="2"/>
            <w:vAlign w:val="center"/>
          </w:tcPr>
          <w:p w:rsidR="00ED20C9" w:rsidRPr="001F515A" w:rsidRDefault="00ED20C9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12. The date the report on EqIA will be published</w:t>
            </w:r>
          </w:p>
        </w:tc>
        <w:tc>
          <w:tcPr>
            <w:tcW w:w="1418" w:type="dxa"/>
            <w:vAlign w:val="center"/>
          </w:tcPr>
          <w:p w:rsidR="00ED20C9" w:rsidRPr="001F515A" w:rsidRDefault="00ED20C9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  <w:t>Signed (Lead Officer)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817AC6" w:rsidRDefault="00501235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Dani Granito</w:t>
      </w:r>
    </w:p>
    <w:p w:rsidR="00501235" w:rsidRDefault="00501235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Laura Jones</w:t>
      </w:r>
    </w:p>
    <w:p w:rsidR="00501235" w:rsidRDefault="00501235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Caroline Green</w:t>
      </w:r>
    </w:p>
    <w:p w:rsidR="00501235" w:rsidRDefault="00501235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Amanda Ball</w:t>
      </w:r>
    </w:p>
    <w:p w:rsidR="00501235" w:rsidRDefault="00501235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Liz Jones</w:t>
      </w:r>
    </w:p>
    <w:p w:rsidR="00501235" w:rsidRPr="00A5175C" w:rsidRDefault="00501235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Richard Adams</w:t>
      </w:r>
    </w:p>
    <w:p w:rsidR="00817AC6" w:rsidRDefault="00817AC6" w:rsidP="00B21479"/>
    <w:p w:rsidR="00C521F6" w:rsidRPr="003814CE" w:rsidRDefault="00C521F6" w:rsidP="00C521F6">
      <w:pPr>
        <w:ind w:left="426" w:hanging="426"/>
        <w:rPr>
          <w:b/>
        </w:rPr>
      </w:pPr>
      <w:r w:rsidRPr="003814CE">
        <w:rPr>
          <w:b/>
        </w:rPr>
        <w:br/>
      </w:r>
    </w:p>
    <w:p w:rsidR="00B21479" w:rsidRPr="008A22C6" w:rsidRDefault="00B21479" w:rsidP="00B21479"/>
    <w:sectPr w:rsidR="00B21479" w:rsidRPr="008A22C6" w:rsidSect="001F51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68" w:rsidRDefault="008B4B68" w:rsidP="00B21479">
      <w:r>
        <w:separator/>
      </w:r>
    </w:p>
  </w:endnote>
  <w:endnote w:type="continuationSeparator" w:id="0">
    <w:p w:rsidR="008B4B68" w:rsidRDefault="008B4B68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1F515A">
      <w:rPr>
        <w:rFonts w:ascii="Arial" w:hAnsi="Arial" w:cs="Arial"/>
        <w:sz w:val="20"/>
        <w:szCs w:val="20"/>
      </w:rPr>
      <w:t>028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1F515A">
      <w:rPr>
        <w:rFonts w:ascii="Arial" w:hAnsi="Arial" w:cs="Arial"/>
        <w:sz w:val="20"/>
        <w:szCs w:val="20"/>
      </w:rPr>
      <w:t>08/08/14</w:t>
    </w:r>
    <w:r w:rsidR="001F515A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920B01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920B01">
      <w:rPr>
        <w:rFonts w:ascii="Arial" w:hAnsi="Arial" w:cs="Arial"/>
        <w:b/>
        <w:bCs/>
        <w:noProof/>
        <w:sz w:val="20"/>
        <w:szCs w:val="20"/>
      </w:rPr>
      <w:t>6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68" w:rsidRDefault="008B4B68" w:rsidP="00B21479">
      <w:r>
        <w:separator/>
      </w:r>
    </w:p>
  </w:footnote>
  <w:footnote w:type="continuationSeparator" w:id="0">
    <w:p w:rsidR="008B4B68" w:rsidRDefault="008B4B68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79" w:rsidRPr="00920B01" w:rsidRDefault="00920B01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920B01">
      <w:rPr>
        <w:rFonts w:ascii="Arial" w:hAnsi="Arial" w:cs="Arial"/>
        <w:sz w:val="48"/>
        <w:szCs w:val="48"/>
      </w:rPr>
      <w:t>Appendix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5D"/>
    <w:multiLevelType w:val="hybridMultilevel"/>
    <w:tmpl w:val="1E0AD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20B"/>
    <w:multiLevelType w:val="multilevel"/>
    <w:tmpl w:val="BF469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C83C11"/>
    <w:multiLevelType w:val="hybridMultilevel"/>
    <w:tmpl w:val="2798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1971"/>
    <w:multiLevelType w:val="multilevel"/>
    <w:tmpl w:val="4052F6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E47892"/>
    <w:multiLevelType w:val="hybridMultilevel"/>
    <w:tmpl w:val="83BC2B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FAF4413"/>
    <w:multiLevelType w:val="hybridMultilevel"/>
    <w:tmpl w:val="AE8A5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3B"/>
    <w:rsid w:val="00041903"/>
    <w:rsid w:val="0006524C"/>
    <w:rsid w:val="00080850"/>
    <w:rsid w:val="000864FA"/>
    <w:rsid w:val="000B0D2A"/>
    <w:rsid w:val="000B4310"/>
    <w:rsid w:val="000F3BAB"/>
    <w:rsid w:val="00111DE0"/>
    <w:rsid w:val="00120373"/>
    <w:rsid w:val="00142786"/>
    <w:rsid w:val="00153E45"/>
    <w:rsid w:val="001F390A"/>
    <w:rsid w:val="001F515A"/>
    <w:rsid w:val="00215A4A"/>
    <w:rsid w:val="0023354C"/>
    <w:rsid w:val="00235F04"/>
    <w:rsid w:val="00262814"/>
    <w:rsid w:val="002C293A"/>
    <w:rsid w:val="002D3056"/>
    <w:rsid w:val="00350A6B"/>
    <w:rsid w:val="0037241A"/>
    <w:rsid w:val="00376912"/>
    <w:rsid w:val="003C118C"/>
    <w:rsid w:val="004000D7"/>
    <w:rsid w:val="0044659E"/>
    <w:rsid w:val="00475E86"/>
    <w:rsid w:val="004A0B51"/>
    <w:rsid w:val="004C113C"/>
    <w:rsid w:val="00501235"/>
    <w:rsid w:val="00504E43"/>
    <w:rsid w:val="005129A5"/>
    <w:rsid w:val="0054009D"/>
    <w:rsid w:val="005448C4"/>
    <w:rsid w:val="005735AB"/>
    <w:rsid w:val="005973F9"/>
    <w:rsid w:val="005A63C1"/>
    <w:rsid w:val="005E2614"/>
    <w:rsid w:val="00657158"/>
    <w:rsid w:val="006F1C60"/>
    <w:rsid w:val="007070ED"/>
    <w:rsid w:val="00713360"/>
    <w:rsid w:val="00760DAE"/>
    <w:rsid w:val="007908F4"/>
    <w:rsid w:val="007974F6"/>
    <w:rsid w:val="007C0F38"/>
    <w:rsid w:val="007F6D43"/>
    <w:rsid w:val="0080343B"/>
    <w:rsid w:val="008117F2"/>
    <w:rsid w:val="00817AC6"/>
    <w:rsid w:val="00880CE5"/>
    <w:rsid w:val="008878A1"/>
    <w:rsid w:val="008A22C6"/>
    <w:rsid w:val="008B4B68"/>
    <w:rsid w:val="009138E4"/>
    <w:rsid w:val="00920B01"/>
    <w:rsid w:val="009344AE"/>
    <w:rsid w:val="00944A56"/>
    <w:rsid w:val="00963B3C"/>
    <w:rsid w:val="00983205"/>
    <w:rsid w:val="009B4AC3"/>
    <w:rsid w:val="009D57BC"/>
    <w:rsid w:val="009E05CF"/>
    <w:rsid w:val="009F00B3"/>
    <w:rsid w:val="00A16355"/>
    <w:rsid w:val="00A17A82"/>
    <w:rsid w:val="00A41DA8"/>
    <w:rsid w:val="00A5175C"/>
    <w:rsid w:val="00AE7473"/>
    <w:rsid w:val="00AF3669"/>
    <w:rsid w:val="00AF44D6"/>
    <w:rsid w:val="00B21479"/>
    <w:rsid w:val="00B35D62"/>
    <w:rsid w:val="00B51D02"/>
    <w:rsid w:val="00BC5611"/>
    <w:rsid w:val="00C029D3"/>
    <w:rsid w:val="00C07F80"/>
    <w:rsid w:val="00C11DF7"/>
    <w:rsid w:val="00C23B6C"/>
    <w:rsid w:val="00C521F6"/>
    <w:rsid w:val="00C54136"/>
    <w:rsid w:val="00C82A08"/>
    <w:rsid w:val="00CE1DAB"/>
    <w:rsid w:val="00CE7E7C"/>
    <w:rsid w:val="00D40A0A"/>
    <w:rsid w:val="00D55026"/>
    <w:rsid w:val="00D75ADD"/>
    <w:rsid w:val="00D964D2"/>
    <w:rsid w:val="00DA4417"/>
    <w:rsid w:val="00DB748B"/>
    <w:rsid w:val="00E411FE"/>
    <w:rsid w:val="00E44635"/>
    <w:rsid w:val="00E57103"/>
    <w:rsid w:val="00ED20C9"/>
    <w:rsid w:val="00F05530"/>
    <w:rsid w:val="00F849B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BB7AB5-1AF1-4C90-A604-4B4CBF41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521F6"/>
    <w:pPr>
      <w:ind w:left="720"/>
      <w:contextualSpacing/>
    </w:pPr>
    <w:rPr>
      <w:rFonts w:ascii="Arial" w:eastAsiaTheme="minorHAnsi" w:hAnsi="Arial" w:cs="Arial"/>
      <w:lang w:eastAsia="en-US"/>
    </w:rPr>
  </w:style>
  <w:style w:type="table" w:styleId="TableGrid">
    <w:name w:val="Table Grid"/>
    <w:basedOn w:val="TableNormal"/>
    <w:uiPriority w:val="59"/>
    <w:rsid w:val="0094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.edmunds\AppData\Local\Microsoft\Windows\Temporary%20Internet%20Files\Content.Outlook\TI8ELTO0\Full%20Equalities%20Impact%20Assessment%20Form_3028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DBAC3D539444B43A2884B3B59FF8" ma:contentTypeVersion="6" ma:contentTypeDescription="Create a new document." ma:contentTypeScope="" ma:versionID="c5602e411205bab88a99260606972eed">
  <xsd:schema xmlns:xsd="http://www.w3.org/2001/XMLSchema" xmlns:xs="http://www.w3.org/2001/XMLSchema" xmlns:p="http://schemas.microsoft.com/office/2006/metadata/properties" xmlns:ns2="a32d5f1b-9f98-4902-be3d-45120c2155ba" xmlns:ns3="ca0c6f25-960b-4ad0-86ba-4742c0ecca1e" targetNamespace="http://schemas.microsoft.com/office/2006/metadata/properties" ma:root="true" ma:fieldsID="8409b6cfb78b6fc41480d0e7008e158e" ns2:_="" ns3:_="">
    <xsd:import namespace="a32d5f1b-9f98-4902-be3d-45120c2155ba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5f1b-9f98-4902-be3d-45120c215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2EFF-2D7D-4531-A0E9-84B743204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2EFC5-B413-433E-B17D-4B606CA2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d5f1b-9f98-4902-be3d-45120c2155ba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37867-1ABD-4894-A3BB-E0CEEBC48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24B67-437D-4598-870F-2A5B3155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Equalities Impact Assessment Form_3028_V1 0</Template>
  <TotalTime>1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daryl.edmunds</dc:creator>
  <cp:lastModifiedBy>MITCHELL John</cp:lastModifiedBy>
  <cp:revision>3</cp:revision>
  <dcterms:created xsi:type="dcterms:W3CDTF">2021-05-05T08:53:00Z</dcterms:created>
  <dcterms:modified xsi:type="dcterms:W3CDTF">2021-05-21T13:15:00Z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0x010100CFEFDBAC3D539444B43A2884B3B59FF8</vt:lpwstr>
  </property>
</Properties>
</file>